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hint="default" w:ascii="Times New Roman" w:hAnsi="Times New Roman" w:eastAsia="仿宋_GB2312" w:cs="Times New Roman"/>
          <w:b/>
          <w:sz w:val="36"/>
          <w:szCs w:val="36"/>
        </w:rPr>
      </w:pPr>
    </w:p>
    <w:p>
      <w:pPr>
        <w:spacing w:line="200" w:lineRule="exact"/>
        <w:rPr>
          <w:rFonts w:hint="default" w:ascii="Times New Roman" w:hAnsi="Times New Roman" w:eastAsia="仿宋_GB2312" w:cs="Times New Roman"/>
          <w:b/>
          <w:sz w:val="36"/>
          <w:szCs w:val="36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64770</wp:posOffset>
            </wp:positionV>
            <wp:extent cx="5372100" cy="1783080"/>
            <wp:effectExtent l="0" t="0" r="0" b="7620"/>
            <wp:wrapNone/>
            <wp:docPr id="3" name="Picture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文件头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川律协〔201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关于征集</w:t>
      </w:r>
      <w:r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  <w:t>首</w:t>
      </w: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届</w:t>
      </w:r>
      <w:r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  <w:t>四川青年</w:t>
      </w: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律师论坛论文的通知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各市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州律师协会：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省律协拟举办首届四川青年律师论坛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现将论坛论文征集事宜通知如下：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论坛主题：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新经济下新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青年律师话未来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二、论坛设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ascii="黑体" w:hAnsi="黑体" w:eastAsia="黑体"/>
          <w:sz w:val="32"/>
          <w:szCs w:val="32"/>
        </w:rPr>
        <w:t>个分论坛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分论坛一：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青年律师的社会责任和行业情怀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：青年律师的专业化发展道路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分论坛三：青年律师从事律所管理工作的进阶之路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三、论文要求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论文</w:t>
      </w:r>
      <w:r>
        <w:rPr>
          <w:rFonts w:hint="eastAsia" w:ascii="仿宋_GB2312" w:hAnsi="仿宋" w:eastAsia="仿宋_GB2312"/>
          <w:sz w:val="32"/>
          <w:szCs w:val="32"/>
        </w:rPr>
        <w:t>应</w:t>
      </w:r>
      <w:r>
        <w:rPr>
          <w:rFonts w:ascii="仿宋_GB2312" w:hAnsi="仿宋" w:eastAsia="仿宋_GB2312"/>
          <w:sz w:val="32"/>
          <w:szCs w:val="32"/>
        </w:rPr>
        <w:t>围绕论坛主题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撰写，可选择</w:t>
      </w:r>
      <w:r>
        <w:rPr>
          <w:rFonts w:ascii="仿宋_GB2312" w:hAnsi="仿宋" w:eastAsia="仿宋_GB2312"/>
          <w:sz w:val="32"/>
          <w:szCs w:val="32"/>
        </w:rPr>
        <w:t>参考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题目</w:t>
      </w:r>
      <w:r>
        <w:rPr>
          <w:rFonts w:ascii="仿宋_GB2312" w:hAnsi="仿宋" w:eastAsia="仿宋_GB2312"/>
          <w:sz w:val="32"/>
          <w:szCs w:val="32"/>
        </w:rPr>
        <w:t>(见附件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sz w:val="32"/>
          <w:szCs w:val="32"/>
        </w:rPr>
        <w:t>)，也可在参考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题目</w:t>
      </w:r>
      <w:r>
        <w:rPr>
          <w:rFonts w:ascii="仿宋_GB2312" w:hAnsi="仿宋" w:eastAsia="仿宋_GB2312"/>
          <w:sz w:val="32"/>
          <w:szCs w:val="32"/>
        </w:rPr>
        <w:t>范围外自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拟</w:t>
      </w:r>
      <w:r>
        <w:rPr>
          <w:rFonts w:ascii="仿宋_GB2312" w:hAnsi="仿宋" w:eastAsia="仿宋_GB2312"/>
          <w:sz w:val="32"/>
          <w:szCs w:val="32"/>
        </w:rPr>
        <w:t>题目，但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需</w:t>
      </w:r>
      <w:r>
        <w:rPr>
          <w:rFonts w:ascii="仿宋_GB2312" w:hAnsi="仿宋" w:eastAsia="仿宋_GB2312"/>
          <w:sz w:val="32"/>
          <w:szCs w:val="32"/>
        </w:rPr>
        <w:t>紧扣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论坛</w:t>
      </w:r>
      <w:r>
        <w:rPr>
          <w:rFonts w:ascii="仿宋_GB2312" w:hAnsi="仿宋" w:eastAsia="仿宋_GB2312"/>
          <w:sz w:val="32"/>
          <w:szCs w:val="32"/>
        </w:rPr>
        <w:t>主题，字数3000--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sz w:val="32"/>
          <w:szCs w:val="32"/>
        </w:rPr>
        <w:t>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律师应当自行撰写论文，不得侵犯他人著作权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论文应当为未公开发表的原创文章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，多位作者的注明作者顺序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提交的论文应有标题、正文、结论、参考文献和注释。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四、论文格式要求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论文排版格式做出如下统一规定：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（一）标题：宋体，小二号，加黑，居中；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（二）标题下注明作者所在律师事务所、作者姓名和手机号:宋体，四号字，居中；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（三）论文摘要、目录：宋体，四号字；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（四）引言或序言：宋体，小四号字；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（五）正文（含副标题）：宋体，四号字；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（六）结论：宋体，四号字；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（七）参考文献和注释：宋体，五号字；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（八）页边距：上、下均为2.54cm，左、右均为2.5cm，文档网格14.3（均在页面设置里调整）。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五、关于论文提交的要求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律协根据论坛主题和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格式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要求组织律师撰写论文。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1.提交数量要求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成都律协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德阳、绵阳律协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其余市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：请</w:t>
      </w:r>
      <w:r>
        <w:rPr>
          <w:rFonts w:hint="eastAsia" w:ascii="仿宋_GB2312" w:hAnsi="仿宋_GB2312" w:eastAsia="仿宋_GB2312" w:cs="仿宋_GB2312"/>
          <w:sz w:val="32"/>
          <w:szCs w:val="32"/>
        </w:rPr>
        <w:t>各市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于11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省律协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instrText xml:space="preserve"> HYPERLINK "mailto:sclxhyb2011@163.com）择优推荐并提交论文（提交的论文应准确提供论文撰写人的姓名、单位、联系方式等信息），以便我们汇总后统一报送论坛组委会。"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提交论文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Word版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及论文信息汇总表（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Excel版，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)。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3.省律协将根据投稿情况进行分类、邀请专家评审，并向获奖作者颁发证书，安排有关获奖作者进行主题演讲、互动交流。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.论文主要用于会议交流，无稿酬，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论文一经投稿，视为同意授权组委会刊印。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省律协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18328093815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青工委联系人：陈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13880797101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电子邮箱：sclxqgw2019@163.com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default" w:ascii="仿宋_GB2312" w:hAnsi="仿宋_GB2312" w:eastAsia="仿宋_GB2312" w:cs="仿宋_GB2312"/>
          <w:sz w:val="32"/>
          <w:szCs w:val="32"/>
        </w:rPr>
        <w:t>首届四川青年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律师论坛论文征集信息汇总表》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.《</w:t>
      </w:r>
      <w:r>
        <w:rPr>
          <w:rFonts w:hint="default" w:ascii="仿宋_GB2312" w:hAnsi="仿宋_GB2312" w:eastAsia="仿宋_GB2312" w:cs="仿宋_GB2312"/>
          <w:sz w:val="32"/>
          <w:szCs w:val="32"/>
        </w:rPr>
        <w:t>首届四川青年</w:t>
      </w:r>
      <w:r>
        <w:rPr>
          <w:rFonts w:hint="eastAsia" w:ascii="仿宋_GB2312" w:hAnsi="仿宋_GB2312" w:eastAsia="仿宋_GB2312" w:cs="仿宋_GB2312"/>
          <w:sz w:val="32"/>
          <w:szCs w:val="32"/>
        </w:rPr>
        <w:t>律师论坛论文参考题目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四川省律师协会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  <w:sectPr>
          <w:footerReference r:id="rId3" w:type="default"/>
          <w:pgSz w:w="11850" w:h="16783"/>
          <w:pgMar w:top="1440" w:right="1800" w:bottom="1440" w:left="1800" w:header="851" w:footer="992" w:gutter="0"/>
          <w:pgNumType w:fmt="numberInDash"/>
          <w:cols w:space="720" w:num="1"/>
          <w:rtlGutter w:val="0"/>
          <w:docGrid w:type="lines" w:linePitch="317" w:charSpace="0"/>
        </w:sectPr>
      </w:pPr>
    </w:p>
    <w:p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136" w:firstLine="320" w:firstLineChars="1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 w:ascii="方正小标宋简体" w:hAnsi="宋体" w:eastAsia="方正小标宋简体" w:cs="宋体"/>
          <w:b w:val="0"/>
          <w:bCs w:val="0"/>
          <w:color w:val="000000"/>
          <w:kern w:val="0"/>
          <w:sz w:val="44"/>
          <w:szCs w:val="44"/>
        </w:rPr>
      </w:pPr>
      <w:r>
        <w:rPr>
          <w:rFonts w:hint="default" w:ascii="方正小标宋简体" w:hAnsi="宋体" w:eastAsia="方正小标宋简体" w:cs="宋体"/>
          <w:b w:val="0"/>
          <w:bCs w:val="0"/>
          <w:color w:val="000000"/>
          <w:kern w:val="0"/>
          <w:sz w:val="44"/>
          <w:szCs w:val="44"/>
        </w:rPr>
        <w:t>首届四川青年律师论坛论文征集信息汇总表</w:t>
      </w:r>
    </w:p>
    <w:p>
      <w:pPr>
        <w:widowControl w:val="0"/>
        <w:numPr>
          <w:ilvl w:val="0"/>
          <w:numId w:val="0"/>
        </w:numPr>
        <w:ind w:firstLine="300" w:firstLineChars="1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eastAsia="zh-CN"/>
        </w:rPr>
        <w:t>报送单位：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u w:val="single"/>
          <w:lang w:val="en-US" w:eastAsia="zh-CN"/>
        </w:rPr>
        <w:t xml:space="preserve">          </w:t>
      </w:r>
    </w:p>
    <w:tbl>
      <w:tblPr>
        <w:tblStyle w:val="4"/>
        <w:tblpPr w:leftFromText="180" w:rightFromText="180" w:vertAnchor="text" w:horzAnchor="page" w:tblpXSpec="center" w:tblpY="15"/>
        <w:tblOverlap w:val="never"/>
        <w:tblW w:w="13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50"/>
        <w:gridCol w:w="4166"/>
        <w:gridCol w:w="3284"/>
        <w:gridCol w:w="2426"/>
        <w:gridCol w:w="1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作者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作者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  <w:sectPr>
          <w:pgSz w:w="16783" w:h="11850" w:orient="landscape"/>
          <w:pgMar w:top="1803" w:right="1440" w:bottom="1803" w:left="1440" w:header="851" w:footer="992" w:gutter="0"/>
          <w:pgNumType w:fmt="numberInDash"/>
          <w:cols w:space="0" w:num="1"/>
          <w:rtlGutter w:val="0"/>
          <w:docGrid w:type="lines" w:linePitch="317" w:charSpace="0"/>
        </w:sectPr>
      </w:pPr>
    </w:p>
    <w:p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附件2</w:t>
      </w:r>
    </w:p>
    <w:p>
      <w:pPr>
        <w:spacing w:line="360" w:lineRule="auto"/>
        <w:jc w:val="center"/>
        <w:rPr>
          <w:rFonts w:hint="eastAsia" w:ascii="方正小标宋简体" w:hAnsi="仿宋" w:eastAsia="方正小标宋简体"/>
          <w:b w:val="0"/>
          <w:bCs w:val="0"/>
          <w:sz w:val="44"/>
          <w:szCs w:val="44"/>
        </w:rPr>
      </w:pPr>
      <w:r>
        <w:rPr>
          <w:rFonts w:hint="default" w:ascii="方正小标宋简体" w:hAnsi="仿宋" w:eastAsia="方正小标宋简体"/>
          <w:b w:val="0"/>
          <w:bCs w:val="0"/>
          <w:sz w:val="44"/>
          <w:szCs w:val="44"/>
        </w:rPr>
        <w:t>首届四川青年律师论坛论文参考题目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567" w:firstLineChars="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青年律师助力新经济高质量发展分论坛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1.新时代背景下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律师业务开拓与创新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青年律师从事涉外法律服务的机遇与挑战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3.金融证券律师业务的创新与发展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青年律师服务企业全生命周期的模式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青年律师在政府脱贫攻坚工作中的法律服务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青年律师如何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在服务生态文明建设中拓展业务领域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7.生态环保公益诉讼问题与对策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青年律师在“一带一路”中的发展与挑战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国际民商事争议解决的路径选择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青年律师服务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党委政委法律顾问工作的现状与思路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11.从中美贸易战看知识产权保护的问题和途径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当前律师行业焦点问题的分析与对策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新外商投资法的意义与影响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法治营商环境建设的探析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" w:hAnsi="仿宋" w:eastAsia="仿宋" w:cs="仿宋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青年律师从事律所管理工作的进阶之路</w:t>
      </w: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  <w:t>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1.青年律师的成长与发展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2.律师事务所文化建设与核心竞争力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3.律师事务所管理模式的创新探索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律师事务所境内分所设立的实践与经验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律师事务所设立境外分支机构的机遇与挑战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律师事务所在青年律师培养中的责任与担当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律师事务所的青年律师成长机制建设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律师事务所行政管理团队建设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律师事务所的专业化发展路径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律师事务所规模化与专业化的选择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律师事务所与律师税收制度研究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合伙制与公司制的选择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律师事务所职业经理人模式探析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青年律师的专业化发展道路</w:t>
      </w: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  <w:t>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青年律师的专业化选择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争议解决律师的成长之路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非诉律师的技能提升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土地管理法修改背景下律师业务的变化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律师在财税领域的优势与业务发展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6.知识产权律师的社会价值与业务前景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青年律师如何在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金融证券律师业务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中谋求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8.刑事辩护全覆盖工作中律师作用的发挥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刑民交叉案件中的法律适用与刑事辩护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企业刑事合规理论与实务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11.在监察法背景下律师如何做好刑事辩护工作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法律科技发展与前景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公共法律服务体系建设的实践与探索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  <w:lang w:eastAsia="zh-CN"/>
        </w:rPr>
        <w:t>青年律师的社会责任和行业情怀分论坛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青年律师的生存状况与未来发展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青年律师的使命与担当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律师行业的传承与发展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4.律师行业党建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与青年律师成长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青年律师从事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律师协会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管理工作的实践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律师协会的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体制定位的思考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7.律师维权的方式、路径、举措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律师公开言论的尺度与界限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9.律师参与法律援助的现状与思考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法律职业共同体建设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11.律师参与立法的途径与方式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青年律师领军人才培养的方式与意义</w:t>
      </w:r>
    </w:p>
    <w:tbl>
      <w:tblPr>
        <w:tblStyle w:val="5"/>
        <w:tblpPr w:leftFromText="181" w:rightFromText="181" w:horzAnchor="page" w:tblpXSpec="center" w:tblpYSpec="bottom"/>
        <w:tblOverlap w:val="never"/>
        <w:tblW w:w="8522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：厅领导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省律师行业党委、厅办公室、厅律师工作处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singl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发：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九届理事、监事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，各专门委员会、专业委员会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eastAsia="zh-CN"/>
              </w:rPr>
              <w:t>四川省律师协会秘书处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2019年10月16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日印发         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850" w:h="16783"/>
      <w:pgMar w:top="1440" w:right="1803" w:bottom="1440" w:left="1803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CS仿宋体">
    <w:altName w:val="仿宋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Cz&#10;zNqs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05F608"/>
    <w:multiLevelType w:val="singleLevel"/>
    <w:tmpl w:val="DB05F6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785D13"/>
    <w:multiLevelType w:val="singleLevel"/>
    <w:tmpl w:val="5D785D1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HorizontalSpacing w:val="0"/>
  <w:drawingGridVerticalSpacing w:val="159"/>
  <w:displayHorizontalDrawingGridEvery w:val="1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33910503-F36C-45C0-8847-1AD1D3DE37F2}" w:val="gJb4zN/RViZBC71XY8ymrPDhOwEe9Tn6jvsqt5QLfkIMpdaHWU2lcG3SF+Kox=0Au"/>
    <w:docVar w:name="DocumentID" w:val="{C560219B-4432-4234-AE88-D5194C9F3CBF}"/>
  </w:docVars>
  <w:rsids>
    <w:rsidRoot w:val="00172A27"/>
    <w:rsid w:val="00006EC4"/>
    <w:rsid w:val="00047538"/>
    <w:rsid w:val="0005191E"/>
    <w:rsid w:val="00062725"/>
    <w:rsid w:val="000C3F58"/>
    <w:rsid w:val="00101D90"/>
    <w:rsid w:val="00112226"/>
    <w:rsid w:val="001431D8"/>
    <w:rsid w:val="00155CC5"/>
    <w:rsid w:val="00186662"/>
    <w:rsid w:val="002843C7"/>
    <w:rsid w:val="003D1CC7"/>
    <w:rsid w:val="004C6CDF"/>
    <w:rsid w:val="00556344"/>
    <w:rsid w:val="006C658C"/>
    <w:rsid w:val="006E407B"/>
    <w:rsid w:val="006F6ED5"/>
    <w:rsid w:val="00802DC9"/>
    <w:rsid w:val="008951AD"/>
    <w:rsid w:val="00961B3C"/>
    <w:rsid w:val="00994B5B"/>
    <w:rsid w:val="009D46B5"/>
    <w:rsid w:val="00A91625"/>
    <w:rsid w:val="00B0775E"/>
    <w:rsid w:val="00C923E5"/>
    <w:rsid w:val="00D56D75"/>
    <w:rsid w:val="00DA5AC3"/>
    <w:rsid w:val="00DF2637"/>
    <w:rsid w:val="00E1438F"/>
    <w:rsid w:val="00E1514F"/>
    <w:rsid w:val="00F47E3D"/>
    <w:rsid w:val="00F61D66"/>
    <w:rsid w:val="01E759DE"/>
    <w:rsid w:val="09240CC6"/>
    <w:rsid w:val="09E21A1D"/>
    <w:rsid w:val="0AD927DA"/>
    <w:rsid w:val="0C7921ED"/>
    <w:rsid w:val="10460CC2"/>
    <w:rsid w:val="1116562E"/>
    <w:rsid w:val="15447BB8"/>
    <w:rsid w:val="23A31D77"/>
    <w:rsid w:val="2835303A"/>
    <w:rsid w:val="2A1A77AD"/>
    <w:rsid w:val="2A9119F6"/>
    <w:rsid w:val="2BD441DC"/>
    <w:rsid w:val="2E8D7AD8"/>
    <w:rsid w:val="30167EB6"/>
    <w:rsid w:val="342E1AF9"/>
    <w:rsid w:val="34B52F77"/>
    <w:rsid w:val="35C13312"/>
    <w:rsid w:val="35F36296"/>
    <w:rsid w:val="37190F83"/>
    <w:rsid w:val="379401FB"/>
    <w:rsid w:val="37BC7880"/>
    <w:rsid w:val="40D520D7"/>
    <w:rsid w:val="429D659B"/>
    <w:rsid w:val="4DEF5574"/>
    <w:rsid w:val="51F32921"/>
    <w:rsid w:val="52B87DF8"/>
    <w:rsid w:val="52F25527"/>
    <w:rsid w:val="539D2EE5"/>
    <w:rsid w:val="54446AA0"/>
    <w:rsid w:val="563D41B6"/>
    <w:rsid w:val="573B5201"/>
    <w:rsid w:val="57892BAB"/>
    <w:rsid w:val="59B55C1C"/>
    <w:rsid w:val="5C24511E"/>
    <w:rsid w:val="61800DD3"/>
    <w:rsid w:val="63850CB5"/>
    <w:rsid w:val="647C4010"/>
    <w:rsid w:val="6874526D"/>
    <w:rsid w:val="6B157268"/>
    <w:rsid w:val="6C7C74E4"/>
    <w:rsid w:val="70E0422D"/>
    <w:rsid w:val="72642203"/>
    <w:rsid w:val="73E61D6E"/>
    <w:rsid w:val="75376CD5"/>
    <w:rsid w:val="761373F6"/>
    <w:rsid w:val="76DE1B49"/>
    <w:rsid w:val="780A5EEF"/>
    <w:rsid w:val="78E7170D"/>
    <w:rsid w:val="7B441EB9"/>
    <w:rsid w:val="7B515FAD"/>
    <w:rsid w:val="7BC515A2"/>
    <w:rsid w:val="7CA56036"/>
    <w:rsid w:val="7EA810DB"/>
    <w:rsid w:val="850FE7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  <w:rPr>
      <w:rFonts w:hint="default" w:ascii="Times New Roman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626</Words>
  <Characters>3574</Characters>
  <Lines>29</Lines>
  <Paragraphs>8</Paragraphs>
  <TotalTime>36</TotalTime>
  <ScaleCrop>false</ScaleCrop>
  <LinksUpToDate>false</LinksUpToDate>
  <CharactersWithSpaces>4192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2016-06-06T17:03:00Z</dcterms:created>
  <dc:creator>admin</dc:creator>
  <cp:lastModifiedBy>办公室</cp:lastModifiedBy>
  <cp:lastPrinted>2019-10-15T08:30:00Z</cp:lastPrinted>
  <dcterms:modified xsi:type="dcterms:W3CDTF">2019-10-16T01:32:47Z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