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135255</wp:posOffset>
            </wp:positionH>
            <wp:positionV relativeFrom="page">
              <wp:posOffset>2710815</wp:posOffset>
            </wp:positionV>
            <wp:extent cx="5274310" cy="1600835"/>
            <wp:effectExtent l="0" t="0" r="1397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川律行党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bidi w:val="0"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</w:t>
      </w:r>
      <w:r>
        <w:rPr>
          <w:rFonts w:hint="eastAsia" w:ascii="Times New Roman" w:hAnsi="Times New Roman" w:eastAsia="方正小标宋简体"/>
          <w:sz w:val="44"/>
          <w:szCs w:val="44"/>
        </w:rPr>
        <w:t>于中共四川省律师行业委员会领导班子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成员分工调整</w:t>
      </w:r>
      <w:r>
        <w:rPr>
          <w:rFonts w:ascii="Times New Roman" w:hAnsi="Times New Roman" w:eastAsia="方正小标宋简体"/>
          <w:sz w:val="44"/>
          <w:szCs w:val="44"/>
        </w:rPr>
        <w:t>的通知</w:t>
      </w:r>
    </w:p>
    <w:p>
      <w:pPr>
        <w:overflowPunct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各市（州）律师行业党委（党总支）：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经省厅党委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，中共四川省律师行业委员会领导班子成员分工调整如下：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强：党委书记，主持党委全面工作。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王晓峰：党委副书记，协助书记分管党风廉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程守太：党委副书记，协助书记分管组织、宣传工作。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刘守民：党委副书记，协助书记分管统战、群团工作。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丁银兵：党委副书记，协助书记分管党建、党委办公室。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凯：党委委员，负责行业党组织、制度建设。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  仲：党委委员，负责党委办公室日常工作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党员发展。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王宗旗：党委委员，负责纪律监督工作，党风行风建设。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李世亮：党委委员，负责基层组织建设。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刘才伟：党委委员，负责统战工作。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罗金云：党委委员，负责党委对外宣传工作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和表彰奖励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工作，负责群团工作，联系青年、妇女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在省律师协会秘书处设律师行业党委办公室，付仲担任党委办公室主任。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附件：1.《四川省律师行业党委职责》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2.《四川省律师行业党委议事规则》</w:t>
      </w:r>
    </w:p>
    <w:p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sz w:val="32"/>
        </w:rPr>
        <w:pict>
          <v:shape id="_x0000_s1029" o:spid="_x0000_s1029" o:spt="201" type="#_x0000_t201" style="position:absolute;left:0pt;margin-left:262.8pt;margin-top:16.4pt;height:134pt;width:132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ontrol 5" w:shapeid="_x0000_s1029"/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中共四川省律师行业委员会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tbl>
      <w:tblPr>
        <w:tblStyle w:val="6"/>
        <w:tblpPr w:leftFromText="181" w:rightFromText="181" w:vertAnchor="page" w:horzAnchor="page" w:tblpX="1777" w:tblpY="13001"/>
        <w:tblOverlap w:val="never"/>
        <w:tblW w:w="872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  <w:t>报：省司法厅党委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全国律师行业党委，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</w:rPr>
              <w:t>省委非公有制经济组织和社会组织工委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省厅办公室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律师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省律师行业党委委员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省律师行业党委办公室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 2019年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印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t>省律师行业党委的工作职责</w:t>
      </w:r>
    </w:p>
    <w:p>
      <w:pPr>
        <w:jc w:val="center"/>
        <w:rPr>
          <w:rFonts w:hint="default" w:ascii="方正小标宋简体" w:hAnsi="宋体" w:eastAsia="方正小标宋简体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宣传、执行党的路线方针政策,贯彻执行中央、省委</w:t>
      </w: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关于律师工作的部暑和要求,落实党对律师工作的领导,确保律师行业坚持正确的政治方向。</w:t>
      </w: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制定和组织实施全省律师行业党的建设工作规划,指</w:t>
      </w: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导全省律师行业党的政治、思想、组织、作风、纪律建设将制度建设贯穿其中,深入推进反腐败斗争,实现和保持党组织和党的工作有效覆盖,充分发挥党组织的政治核心作用和党员的先锋模范作用。</w:t>
      </w: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指导全省律师行业党组织完善规章制度,严肃组织生</w:t>
      </w: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活,严明政治纪律、政治规矩和组织纪律,做好党员领导干部和党员队伍教育管理工作,切实落实从严治党要求。</w:t>
      </w: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指导全省律师行业思想政治建设和精神文明建设,负</w:t>
      </w: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责律师行业统一战线工作和工青妇等群团组织工作,团结、影响和带动律师队伍积极参加中国特色社会主义法治国家建设实践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负责全省律师行业党的建设工作的评选表彰,承担律</w:t>
      </w: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师行业党的工作情况综合分析和报告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负责省律师协会党的建设工作,督促协会健全完善管</w:t>
      </w: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理制度和行业规范,加强行业自律管理,充分发挥行业自律组织的作用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七、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完成司法厅党委交给的其他任务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中共四川省律师行业委员会议事规则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第一条  为规范中共四川省律师行业委员会（简称行业党委）的议事程序，认真贯彻落实党的民主集中制原则，实现决策的民主化、制度化、科学化，充分发挥党委在律师行业管理工作中的领导核心作用，保证党的路线、方针、政策和上级党委决议、指示在全省律师行业中得到切实落实，根据《中国共产党章程》有关规定，制定本规则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第二条  行业党委在四川省司法厅党委领导下开展工作。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 行业党委采用会议方式议决事项。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  党委会原则每季度召开一次。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党委会由党委书记召集并主持，党委书记因故不能出席会议时，可以委托副书记召集并主持。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  党委会须有半数以上党委成员出席，方可开会议决事项；研究重要人事任免、奖惩等方面的重大事项，须有三分之二以上党委成员出席方可开会。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党委成员因故不能出席会议的，应当向党委书记请假，对于因故不能出席会议的党委成员，应当向其征求对议决事项的意见并通报会议结果。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 党委成员个人有权提出会议议题，是否提交会议议决由党委书记确定，但超过半数以上的党委成员联名提出的议题必须提交会议议决，任何人不得临时动议和提交党委会表决人事任免、奖惩等事项。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  党委办公室应于会议召开前三日将会议时间、地点、议题及相关材料通知发送每名党委委员，并负责会议的筹备工作。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  党委会议决事项，所有成员必须明确发表意见。党委会按照少数服从多数的原则议决事项，但是对于少数人的意见必须记录在案。少数人对于自己的意见可以保留，也可以向上级党委报告，但必须服从和执行多数人通过的决议。会议形不成多数意见时，应暂缓做出决议，待进一步调查研究、交换意见后再做决议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党委成员代表党委发表讲话应当事先经党委书记同意。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党委成员必须坚决执行党委会的决议。如执行中发现新的情况和问题，认为需要改变党委决定的，应当及时提交党委会讨论，在党委会没有重新做出决定前，不得有与党委会决定相违背的言行。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第九条  参加和列席党委会的人员，应当严格遵守保密规定。对于党委会的内容，除党委决定可以传达或者公开的以外，任何人不得擅自对外泄露。但向上级党委反映意见除外。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第十条  党委会应当制作会议纪录，会议记录经党委书记审核签字后存档。对党委会认定事项，应当制作会议纪要，会议纪要由党委书记审核签发，按规定印发党委成员和有关单位，同时抄报省司法厅党委、有关部门，需要制发党委文件的，按有关规定办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第十一条  党委办公室负责党委会的筹备工作和对会议决定事项的督促执行; 党委办工作人员负责党委会的通知、记录、草拟会议纪要和党委文件等工作。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第十二条  本议事规则经党委会通过并报省司法厅党委同意后执行。</w:t>
      </w: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899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a2+F/ZtNRFAjsdGWc8RfU3Y4sU=" w:salt="FSpLdHe7yz6VSoRRiSA/n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C55B1"/>
    <w:rsid w:val="01806A8B"/>
    <w:rsid w:val="08507D74"/>
    <w:rsid w:val="16055164"/>
    <w:rsid w:val="19D92AAC"/>
    <w:rsid w:val="1C170953"/>
    <w:rsid w:val="1D294441"/>
    <w:rsid w:val="21430FDE"/>
    <w:rsid w:val="29B90000"/>
    <w:rsid w:val="307C55B1"/>
    <w:rsid w:val="337A77D8"/>
    <w:rsid w:val="367270EC"/>
    <w:rsid w:val="3BB30301"/>
    <w:rsid w:val="40306DC1"/>
    <w:rsid w:val="425A1F95"/>
    <w:rsid w:val="44F174F5"/>
    <w:rsid w:val="4D9B79B3"/>
    <w:rsid w:val="52E2661C"/>
    <w:rsid w:val="572414DB"/>
    <w:rsid w:val="575E35F5"/>
    <w:rsid w:val="618459DF"/>
    <w:rsid w:val="66FD662C"/>
    <w:rsid w:val="6E4B4B32"/>
    <w:rsid w:val="6E4D752B"/>
    <w:rsid w:val="72CB7AC9"/>
    <w:rsid w:val="742D60A7"/>
    <w:rsid w:val="7A51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2019-05-16T06:34:00Z</dcterms:created>
  <dc:creator>lenovo</dc:creator>
  <cp:lastModifiedBy>办公室</cp:lastModifiedBy>
  <cp:lastPrinted>2019-10-14T07:45:00Z</cp:lastPrinted>
  <dcterms:modified xsi:type="dcterms:W3CDTF">2019-10-17T01:47:34Z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docranid">
    <vt:lpwstr>4E1E69E2C6A34CC38438133C2F2DBEC8</vt:lpwstr>
  </property>
</Properties>
</file>